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87DFB" w14:textId="0E500F57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5B04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D4601A" w:rsidRPr="00D4601A">
        <w:rPr>
          <w:b/>
          <w:noProof/>
          <w:sz w:val="24"/>
        </w:rPr>
        <w:t>R4-25</w:t>
      </w:r>
      <w:r w:rsidR="00C47D44">
        <w:rPr>
          <w:b/>
          <w:noProof/>
          <w:sz w:val="24"/>
        </w:rPr>
        <w:t>06201</w:t>
      </w:r>
      <w:bookmarkStart w:id="0" w:name="_GoBack"/>
      <w:bookmarkEnd w:id="0"/>
    </w:p>
    <w:p w14:paraId="1DCA2A04" w14:textId="5474FF59" w:rsidR="00D511F6" w:rsidRDefault="005B044F" w:rsidP="00D01F9A">
      <w:pPr>
        <w:tabs>
          <w:tab w:val="left" w:pos="2820"/>
        </w:tabs>
        <w:spacing w:after="1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Malta</w:t>
      </w:r>
      <w:r w:rsidR="00CF35A5" w:rsidRPr="00CF35A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MT</w:t>
      </w:r>
      <w:r w:rsidR="00CF35A5" w:rsidRPr="00CF35A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19</w:t>
      </w:r>
      <w:r w:rsidR="00CF35A5" w:rsidRPr="00CF35A5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/>
          <w:b/>
          <w:noProof/>
          <w:sz w:val="24"/>
        </w:rPr>
        <w:t>23rd</w:t>
      </w:r>
      <w:r w:rsidR="00CF35A5" w:rsidRPr="00CF35A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="00CF35A5" w:rsidRPr="00CF35A5">
        <w:rPr>
          <w:rFonts w:ascii="Arial" w:hAnsi="Arial"/>
          <w:b/>
          <w:noProof/>
          <w:sz w:val="24"/>
        </w:rPr>
        <w:t>, 2025</w:t>
      </w:r>
    </w:p>
    <w:p w14:paraId="5C3F941F" w14:textId="77777777" w:rsidR="00CF35A5" w:rsidRPr="00272755" w:rsidRDefault="00CF35A5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31F18B8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905652" w:rsidRPr="00905652">
        <w:rPr>
          <w:rFonts w:ascii="Arial" w:hAnsi="Arial" w:cs="Arial"/>
          <w:b/>
          <w:lang w:val="en-US"/>
        </w:rPr>
        <w:t>UE RF requirements of LB carrier aggregation</w:t>
      </w:r>
    </w:p>
    <w:p w14:paraId="5E7F0AD8" w14:textId="4948338A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CF7212" w:rsidRPr="00CF7212">
        <w:rPr>
          <w:rFonts w:ascii="Arial" w:hAnsi="Arial" w:cs="Arial"/>
          <w:b/>
          <w:lang w:val="en-US"/>
        </w:rPr>
        <w:t>7.</w:t>
      </w:r>
      <w:r w:rsidR="00CF35A5">
        <w:rPr>
          <w:rFonts w:ascii="Arial" w:hAnsi="Arial" w:cs="Arial"/>
          <w:b/>
          <w:lang w:val="en-US"/>
        </w:rPr>
        <w:t>7</w:t>
      </w:r>
      <w:r w:rsidR="00CF7212" w:rsidRPr="00CF7212">
        <w:rPr>
          <w:rFonts w:ascii="Arial" w:hAnsi="Arial" w:cs="Arial"/>
          <w:b/>
          <w:lang w:val="en-US"/>
        </w:rPr>
        <w:t>.</w:t>
      </w:r>
      <w:r w:rsidR="005B044F">
        <w:rPr>
          <w:rFonts w:ascii="Arial" w:hAnsi="Arial" w:cs="Arial"/>
          <w:b/>
          <w:lang w:val="en-US"/>
        </w:rPr>
        <w:t>3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7BC717BE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A25C24">
        <w:rPr>
          <w:lang w:val="en-US" w:eastAsia="ko-KR"/>
        </w:rPr>
        <w:t xml:space="preserve">UE RF requirement for low band CA </w:t>
      </w:r>
      <w:r w:rsidR="00236284">
        <w:rPr>
          <w:lang w:val="en-US" w:eastAsia="ko-KR"/>
        </w:rPr>
        <w:t xml:space="preserve">based on WD </w:t>
      </w:r>
      <w:r w:rsidR="00A25C24">
        <w:rPr>
          <w:lang w:val="en-US" w:eastAsia="ko-KR"/>
        </w:rPr>
        <w:t>[</w:t>
      </w:r>
      <w:r w:rsidR="00236284">
        <w:rPr>
          <w:lang w:val="en-US" w:eastAsia="ko-KR"/>
        </w:rPr>
        <w:t>1</w:t>
      </w:r>
      <w:r w:rsidR="00A25C24">
        <w:rPr>
          <w:lang w:val="en-US" w:eastAsia="ko-KR"/>
        </w:rPr>
        <w:t>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2B905EED" w14:textId="4937D4C8" w:rsidR="00A25C24" w:rsidRDefault="00CD4CA4" w:rsidP="00822BF9">
      <w:pPr>
        <w:rPr>
          <w:lang w:eastAsia="ko-KR"/>
        </w:rPr>
      </w:pPr>
      <w:r>
        <w:rPr>
          <w:lang w:val="en-US" w:eastAsia="ko-KR"/>
        </w:rPr>
        <w:t>The followings were approved in WF [1].</w:t>
      </w:r>
      <w:r w:rsidR="00FF446A">
        <w:rPr>
          <w:lang w:eastAsia="ko-KR"/>
        </w:rPr>
        <w:t xml:space="preserve"> </w:t>
      </w:r>
    </w:p>
    <w:p w14:paraId="6BB7E698" w14:textId="77777777" w:rsidR="00A25C24" w:rsidRDefault="00A25C24" w:rsidP="00822BF9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5C24" w14:paraId="74D2D4F3" w14:textId="77777777" w:rsidTr="00A25C24">
        <w:tc>
          <w:tcPr>
            <w:tcW w:w="9855" w:type="dxa"/>
          </w:tcPr>
          <w:p w14:paraId="286C6376" w14:textId="77777777" w:rsidR="005B044F" w:rsidRPr="005B044F" w:rsidRDefault="005B044F" w:rsidP="005B044F">
            <w:pPr>
              <w:rPr>
                <w:b/>
                <w:bCs/>
              </w:rPr>
            </w:pPr>
            <w:bookmarkStart w:id="6" w:name="_Hlk174440006"/>
            <w:r w:rsidRPr="005B044F">
              <w:rPr>
                <w:b/>
                <w:bCs/>
              </w:rPr>
              <w:t>Issue 1: Switching period capability</w:t>
            </w:r>
          </w:p>
          <w:p w14:paraId="6130670E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The switching period capability can be defined per band pair per band combination.</w:t>
            </w:r>
          </w:p>
          <w:p w14:paraId="18EE5EFA" w14:textId="77777777" w:rsidR="005B044F" w:rsidRPr="005B044F" w:rsidRDefault="005B044F" w:rsidP="005B044F"/>
          <w:p w14:paraId="0BBE5CF6" w14:textId="77777777" w:rsidR="005B044F" w:rsidRPr="005B044F" w:rsidRDefault="005B044F" w:rsidP="005B044F">
            <w:pPr>
              <w:rPr>
                <w:b/>
                <w:bCs/>
              </w:rPr>
            </w:pPr>
            <w:r w:rsidRPr="005B044F">
              <w:rPr>
                <w:b/>
                <w:bCs/>
              </w:rPr>
              <w:t>Issue 2: Switching period location</w:t>
            </w:r>
          </w:p>
          <w:p w14:paraId="21010F6D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  <w:lang w:val="en-US" w:eastAsia="zh-CN"/>
              </w:rPr>
              <w:t>-</w:t>
            </w:r>
            <w:r w:rsidRPr="005B044F">
              <w:rPr>
                <w:rFonts w:ascii="Times New Roman" w:hAnsi="Times New Roman"/>
                <w:lang w:val="en-US" w:eastAsia="zh-CN"/>
              </w:rPr>
              <w:tab/>
              <w:t>Await outcome of RAN1 design</w:t>
            </w:r>
          </w:p>
          <w:p w14:paraId="40B99C11" w14:textId="77777777" w:rsidR="005B044F" w:rsidRPr="005B044F" w:rsidRDefault="005B044F" w:rsidP="005B044F"/>
          <w:p w14:paraId="2BA51F5B" w14:textId="77777777" w:rsidR="005B044F" w:rsidRPr="005B044F" w:rsidRDefault="005B044F" w:rsidP="005B044F">
            <w:pPr>
              <w:rPr>
                <w:b/>
                <w:bCs/>
              </w:rPr>
            </w:pPr>
            <w:r w:rsidRPr="005B044F">
              <w:rPr>
                <w:b/>
                <w:bCs/>
              </w:rPr>
              <w:t>Issue 3: Time mask for switching</w:t>
            </w:r>
          </w:p>
          <w:p w14:paraId="78B09E1A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Define the Tx on-off time mask requirements</w:t>
            </w:r>
          </w:p>
          <w:p w14:paraId="2AAE468E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FFS on how to define the Rx switching requirements to reflect where the switching period occurs</w:t>
            </w:r>
          </w:p>
          <w:p w14:paraId="7AD579D8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RAN4 has understanding that RAN1 will take switching period and timing advance into account for RAN1 scheduling pattern for low band CA via switching</w:t>
            </w:r>
          </w:p>
          <w:p w14:paraId="6AB03F83" w14:textId="77777777" w:rsidR="005B044F" w:rsidRPr="005B044F" w:rsidRDefault="005B044F" w:rsidP="005B044F"/>
          <w:p w14:paraId="06818219" w14:textId="77777777" w:rsidR="005B044F" w:rsidRPr="005B044F" w:rsidRDefault="005B044F" w:rsidP="005B044F">
            <w:pPr>
              <w:rPr>
                <w:b/>
                <w:bCs/>
              </w:rPr>
            </w:pPr>
            <w:r w:rsidRPr="005B044F">
              <w:rPr>
                <w:b/>
                <w:bCs/>
              </w:rPr>
              <w:t>Issue 4: Considerations related to the Tx on-off time mask</w:t>
            </w:r>
          </w:p>
          <w:p w14:paraId="3168B613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Option 1: Specify transmit on/off time mask for FDD UL carrier/Pcell for switching between LB(FDD)-LB(SDL)</w:t>
            </w:r>
          </w:p>
          <w:p w14:paraId="191DCB33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Option 2: Specify on-&gt;off time mask for switching from FDD to SDL carrier and specify off-&gt;on time mask for switching from SDL to FDD carrier</w:t>
            </w:r>
          </w:p>
          <w:p w14:paraId="27092444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</w:rPr>
            </w:pPr>
            <w:r w:rsidRPr="005B044F">
              <w:rPr>
                <w:rFonts w:ascii="Times New Roman" w:hAnsi="Times New Roman"/>
              </w:rPr>
              <w:t>-</w:t>
            </w:r>
            <w:r w:rsidRPr="005B044F">
              <w:rPr>
                <w:rFonts w:ascii="Times New Roman" w:hAnsi="Times New Roman"/>
              </w:rPr>
              <w:tab/>
              <w:t>Other options are not precluded</w:t>
            </w:r>
          </w:p>
          <w:p w14:paraId="24C11C25" w14:textId="77777777" w:rsidR="005B044F" w:rsidRPr="005B044F" w:rsidRDefault="005B044F" w:rsidP="005B044F">
            <w:pPr>
              <w:spacing w:after="120"/>
              <w:rPr>
                <w:color w:val="0070C0"/>
                <w:lang w:val="en-US" w:eastAsia="zh-CN"/>
              </w:rPr>
            </w:pPr>
          </w:p>
          <w:p w14:paraId="1F61904F" w14:textId="77777777" w:rsidR="005B044F" w:rsidRPr="005B044F" w:rsidRDefault="005B044F" w:rsidP="005B044F">
            <w:pPr>
              <w:rPr>
                <w:b/>
                <w:bCs/>
              </w:rPr>
            </w:pPr>
            <w:r w:rsidRPr="005B044F">
              <w:rPr>
                <w:b/>
                <w:bCs/>
              </w:rPr>
              <w:t>Issue 5: Test methodology</w:t>
            </w:r>
          </w:p>
          <w:p w14:paraId="7CE9EA82" w14:textId="77777777" w:rsidR="005B044F" w:rsidRPr="005B044F" w:rsidRDefault="005B044F" w:rsidP="005B044F">
            <w:pPr>
              <w:pStyle w:val="B10"/>
              <w:rPr>
                <w:rFonts w:ascii="Times New Roman" w:hAnsi="Times New Roman"/>
                <w:lang w:val="en-US" w:eastAsia="zh-CN"/>
              </w:rPr>
            </w:pPr>
            <w:r w:rsidRPr="005B044F">
              <w:rPr>
                <w:rFonts w:ascii="Times New Roman" w:hAnsi="Times New Roman"/>
                <w:lang w:val="en-US" w:eastAsia="zh-CN"/>
              </w:rPr>
              <w:t>-</w:t>
            </w:r>
            <w:r w:rsidRPr="005B044F">
              <w:rPr>
                <w:rFonts w:ascii="Times New Roman" w:hAnsi="Times New Roman"/>
                <w:lang w:val="en-US" w:eastAsia="zh-CN"/>
              </w:rPr>
              <w:tab/>
              <w:t>Companies are encouraged to contribute proposals related to the testability of the requirement on the time mask for switching</w:t>
            </w:r>
          </w:p>
          <w:bookmarkEnd w:id="6"/>
          <w:p w14:paraId="0C214EA5" w14:textId="15B3B45E" w:rsidR="00A25C24" w:rsidRDefault="00A25C24" w:rsidP="00CD4CA4">
            <w:pPr>
              <w:rPr>
                <w:lang w:eastAsia="ko-KR"/>
              </w:rPr>
            </w:pPr>
          </w:p>
        </w:tc>
      </w:tr>
    </w:tbl>
    <w:p w14:paraId="278F6603" w14:textId="77777777" w:rsidR="00A25C24" w:rsidRDefault="00A25C24" w:rsidP="00822BF9">
      <w:pPr>
        <w:rPr>
          <w:lang w:eastAsia="ko-KR"/>
        </w:rPr>
      </w:pPr>
    </w:p>
    <w:p w14:paraId="013D31DD" w14:textId="77777777" w:rsidR="002F5156" w:rsidRDefault="002F5156" w:rsidP="00A77C93"/>
    <w:p w14:paraId="51C43552" w14:textId="6DA6A999" w:rsidR="002F5156" w:rsidRDefault="002F5156" w:rsidP="002F5156">
      <w:r>
        <w:rPr>
          <w:lang w:eastAsia="ko-KR"/>
        </w:rPr>
        <w:t>Figure 6.3.3.2-1 shows the existing general On/Off time mask for NR UL transmission.</w:t>
      </w:r>
      <w:r>
        <w:t xml:space="preserve"> </w:t>
      </w:r>
    </w:p>
    <w:p w14:paraId="6F3E68F9" w14:textId="77777777" w:rsidR="002F5156" w:rsidRDefault="002F5156" w:rsidP="002F5156"/>
    <w:p w14:paraId="484DFEA9" w14:textId="77777777" w:rsidR="002F5156" w:rsidRPr="001D0283" w:rsidRDefault="002F5156" w:rsidP="002F5156">
      <w:pPr>
        <w:pStyle w:val="TH"/>
      </w:pPr>
      <w:r w:rsidRPr="001D0283">
        <w:rPr>
          <w:noProof/>
          <w:lang w:val="en-US" w:eastAsia="ko-KR"/>
        </w:rPr>
        <w:drawing>
          <wp:inline distT="0" distB="0" distL="0" distR="0" wp14:anchorId="7D002680" wp14:editId="09D208B2">
            <wp:extent cx="5924550" cy="1524000"/>
            <wp:effectExtent l="0" t="0" r="0" b="0"/>
            <wp:docPr id="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F69F1" w14:textId="77777777" w:rsidR="002F5156" w:rsidRPr="001D0283" w:rsidRDefault="002F5156" w:rsidP="002F5156">
      <w:pPr>
        <w:pStyle w:val="TF"/>
      </w:pPr>
      <w:r w:rsidRPr="001D0283">
        <w:t>Figure 6.3.3.2-1: General ON/OFF time mask for NR UL transmission in FR1</w:t>
      </w:r>
    </w:p>
    <w:p w14:paraId="5CC94C99" w14:textId="2618FAC9" w:rsidR="002F5156" w:rsidRPr="002F5156" w:rsidRDefault="002F5156" w:rsidP="00A77C93">
      <w:pPr>
        <w:rPr>
          <w:lang w:eastAsia="ko-KR"/>
        </w:rPr>
      </w:pPr>
      <w:r>
        <w:rPr>
          <w:lang w:eastAsia="ko-KR"/>
        </w:rPr>
        <w:t xml:space="preserve">In the requirement, Start of On power and End of On power are aligned with slot boundary. </w:t>
      </w:r>
    </w:p>
    <w:p w14:paraId="75838D3A" w14:textId="77777777" w:rsidR="002F5156" w:rsidRDefault="002F5156" w:rsidP="00A77C93"/>
    <w:p w14:paraId="043BCA90" w14:textId="4FBB93F6" w:rsidR="00FF446A" w:rsidRDefault="002F5156" w:rsidP="00A77C93">
      <w:r>
        <w:t>However, for LB CA switching, Start of On power and End of On power may not be aligned with slot boundary. Figure 2-</w:t>
      </w:r>
      <w:r w:rsidR="00E675FB">
        <w:t>1</w:t>
      </w:r>
      <w:r>
        <w:t xml:space="preserve"> shows one example of UE RF architecture supporting the LB CA switching.</w:t>
      </w:r>
    </w:p>
    <w:p w14:paraId="5E5A6B72" w14:textId="4DD8CF3A" w:rsidR="002F5156" w:rsidRDefault="002F5156" w:rsidP="00A77C93"/>
    <w:p w14:paraId="1192C39B" w14:textId="4666DB7D" w:rsidR="002F5156" w:rsidRDefault="002F5156" w:rsidP="00A77C93"/>
    <w:p w14:paraId="72FF1D81" w14:textId="10CFA46B" w:rsidR="002F5156" w:rsidRDefault="00797E65" w:rsidP="00A77C93">
      <w:pPr>
        <w:rPr>
          <w:lang w:eastAsia="ko-KR"/>
        </w:rPr>
      </w:pPr>
      <w:r>
        <w:object w:dxaOrig="22291" w:dyaOrig="10066" w14:anchorId="10606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222.65pt" o:ole="">
            <v:imagedata r:id="rId9" o:title=""/>
          </v:shape>
          <o:OLEObject Type="Embed" ProgID="Visio.Drawing.15" ShapeID="_x0000_i1025" DrawAspect="Content" ObjectID="_1808289379" r:id="rId10"/>
        </w:object>
      </w:r>
    </w:p>
    <w:p w14:paraId="61C48C6A" w14:textId="77777777" w:rsidR="00A77C93" w:rsidRPr="00A77C93" w:rsidRDefault="00A77C93" w:rsidP="00822BF9">
      <w:pPr>
        <w:rPr>
          <w:lang w:eastAsia="ko-KR"/>
        </w:rPr>
      </w:pPr>
    </w:p>
    <w:p w14:paraId="01E132C6" w14:textId="1F9A4EBF" w:rsidR="002F5156" w:rsidRDefault="002F5156" w:rsidP="002F5156">
      <w:pPr>
        <w:pStyle w:val="TH"/>
      </w:pPr>
      <w:r>
        <w:t>Figure</w:t>
      </w:r>
      <w:r w:rsidRPr="00442356">
        <w:t xml:space="preserve"> </w:t>
      </w:r>
      <w:r>
        <w:t>2-</w:t>
      </w:r>
      <w:r w:rsidR="00E675FB">
        <w:t>1</w:t>
      </w:r>
      <w:r>
        <w:t>:</w:t>
      </w:r>
      <w:r w:rsidRPr="00442356">
        <w:t xml:space="preserve"> </w:t>
      </w:r>
      <w:r>
        <w:t>One example of UE RF architecture supporting LB CA swit</w:t>
      </w:r>
      <w:r w:rsidR="002A4C5E">
        <w:t>c</w:t>
      </w:r>
      <w:r>
        <w:t>hing</w:t>
      </w:r>
    </w:p>
    <w:p w14:paraId="1BC86238" w14:textId="2738EE3D" w:rsidR="002A4C5E" w:rsidRDefault="002A4C5E" w:rsidP="00822BF9">
      <w:pPr>
        <w:rPr>
          <w:lang w:eastAsia="ko-KR"/>
        </w:rPr>
      </w:pPr>
      <w:r>
        <w:rPr>
          <w:lang w:eastAsia="ko-KR"/>
        </w:rPr>
        <w:t xml:space="preserve">In the example of figure 2-1, </w:t>
      </w:r>
      <w:r w:rsidR="00E675FB">
        <w:rPr>
          <w:lang w:eastAsia="ko-KR"/>
        </w:rPr>
        <w:t xml:space="preserve">we can </w:t>
      </w:r>
      <w:r>
        <w:rPr>
          <w:lang w:eastAsia="ko-KR"/>
        </w:rPr>
        <w:t>some switches for switching from FDD(n5)  to SDL(n29) or from SDL(n29) to FDD(n5).</w:t>
      </w:r>
    </w:p>
    <w:p w14:paraId="1AD3996D" w14:textId="77777777" w:rsidR="00E675FB" w:rsidRDefault="00E675FB" w:rsidP="00822BF9">
      <w:pPr>
        <w:rPr>
          <w:lang w:eastAsia="ko-KR"/>
        </w:rPr>
      </w:pPr>
    </w:p>
    <w:p w14:paraId="5EE8576E" w14:textId="44551F17" w:rsidR="002A4C5E" w:rsidRDefault="002A4C5E" w:rsidP="00822BF9">
      <w:pPr>
        <w:rPr>
          <w:lang w:eastAsia="ko-KR"/>
        </w:rPr>
      </w:pPr>
      <w:r>
        <w:rPr>
          <w:lang w:eastAsia="ko-KR"/>
        </w:rPr>
        <w:t>Table 2-1 summaries relationship between SWs and Tx/Rx switching.</w:t>
      </w:r>
    </w:p>
    <w:p w14:paraId="1B5A8D27" w14:textId="77777777" w:rsidR="00F92B47" w:rsidRDefault="00F92B47" w:rsidP="00822BF9">
      <w:pPr>
        <w:rPr>
          <w:lang w:eastAsia="ko-KR"/>
        </w:rPr>
      </w:pPr>
    </w:p>
    <w:p w14:paraId="49CA4416" w14:textId="35B0F31E" w:rsidR="002A4C5E" w:rsidRPr="00F92B47" w:rsidRDefault="00F92B47" w:rsidP="00F92B47">
      <w:pPr>
        <w:pStyle w:val="TH"/>
        <w:rPr>
          <w:lang w:eastAsia="ko-KR"/>
        </w:rPr>
      </w:pPr>
      <w:r>
        <w:t>Table</w:t>
      </w:r>
      <w:r w:rsidRPr="00442356">
        <w:t xml:space="preserve"> </w:t>
      </w:r>
      <w:r>
        <w:t>2-1:</w:t>
      </w:r>
      <w:r w:rsidRPr="00442356">
        <w:t xml:space="preserve"> </w:t>
      </w:r>
      <w:r>
        <w:t>Relationship between SWs vs Tx/Rx for LB CW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427"/>
        <w:gridCol w:w="1427"/>
        <w:gridCol w:w="1427"/>
        <w:gridCol w:w="1428"/>
        <w:gridCol w:w="1428"/>
      </w:tblGrid>
      <w:tr w:rsidR="00F92B47" w14:paraId="6DCD2A45" w14:textId="77777777" w:rsidTr="00F92B47">
        <w:trPr>
          <w:trHeight w:val="247"/>
          <w:jc w:val="center"/>
        </w:trPr>
        <w:tc>
          <w:tcPr>
            <w:tcW w:w="1427" w:type="dxa"/>
          </w:tcPr>
          <w:p w14:paraId="70398454" w14:textId="77777777" w:rsidR="00F92B47" w:rsidRDefault="00F92B47" w:rsidP="00822BF9">
            <w:pPr>
              <w:rPr>
                <w:lang w:eastAsia="ko-KR"/>
              </w:rPr>
            </w:pPr>
          </w:p>
        </w:tc>
        <w:tc>
          <w:tcPr>
            <w:tcW w:w="1427" w:type="dxa"/>
          </w:tcPr>
          <w:p w14:paraId="69968D0A" w14:textId="4910ECAD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SW1</w:t>
            </w:r>
          </w:p>
        </w:tc>
        <w:tc>
          <w:tcPr>
            <w:tcW w:w="1427" w:type="dxa"/>
          </w:tcPr>
          <w:p w14:paraId="4FADAE0B" w14:textId="6B770095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SW2</w:t>
            </w:r>
          </w:p>
        </w:tc>
        <w:tc>
          <w:tcPr>
            <w:tcW w:w="1428" w:type="dxa"/>
          </w:tcPr>
          <w:p w14:paraId="54FACE09" w14:textId="7FB73CFF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SW3</w:t>
            </w:r>
          </w:p>
        </w:tc>
        <w:tc>
          <w:tcPr>
            <w:tcW w:w="1428" w:type="dxa"/>
          </w:tcPr>
          <w:p w14:paraId="34BF1AA5" w14:textId="50268729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SW4</w:t>
            </w:r>
          </w:p>
        </w:tc>
      </w:tr>
      <w:tr w:rsidR="00F92B47" w14:paraId="21EE45BE" w14:textId="77777777" w:rsidTr="00F92B47">
        <w:trPr>
          <w:trHeight w:val="247"/>
          <w:jc w:val="center"/>
        </w:trPr>
        <w:tc>
          <w:tcPr>
            <w:tcW w:w="1427" w:type="dxa"/>
          </w:tcPr>
          <w:p w14:paraId="72DB9897" w14:textId="2A397C9D" w:rsidR="00F92B47" w:rsidRDefault="00F92B47" w:rsidP="00822BF9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Tx On/Off</w:t>
            </w:r>
          </w:p>
        </w:tc>
        <w:tc>
          <w:tcPr>
            <w:tcW w:w="1427" w:type="dxa"/>
          </w:tcPr>
          <w:p w14:paraId="6D79DF0D" w14:textId="186353C3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427" w:type="dxa"/>
          </w:tcPr>
          <w:p w14:paraId="776EDBD9" w14:textId="1A14B6CC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428" w:type="dxa"/>
          </w:tcPr>
          <w:p w14:paraId="72F503D9" w14:textId="7815BC7E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428" w:type="dxa"/>
          </w:tcPr>
          <w:p w14:paraId="3CA18AF4" w14:textId="49490A28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F92B47" w14:paraId="226AA67A" w14:textId="77777777" w:rsidTr="00F92B47">
        <w:trPr>
          <w:trHeight w:val="247"/>
          <w:jc w:val="center"/>
        </w:trPr>
        <w:tc>
          <w:tcPr>
            <w:tcW w:w="1427" w:type="dxa"/>
          </w:tcPr>
          <w:p w14:paraId="4CF64B6F" w14:textId="0E20B8EF" w:rsidR="00F92B47" w:rsidRDefault="00F92B47" w:rsidP="00822BF9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Rx Switching</w:t>
            </w:r>
          </w:p>
        </w:tc>
        <w:tc>
          <w:tcPr>
            <w:tcW w:w="1427" w:type="dxa"/>
          </w:tcPr>
          <w:p w14:paraId="1FB8D11F" w14:textId="35911663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427" w:type="dxa"/>
          </w:tcPr>
          <w:p w14:paraId="103B460A" w14:textId="27B579FE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428" w:type="dxa"/>
          </w:tcPr>
          <w:p w14:paraId="4CFAB4D0" w14:textId="74ED28F4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1428" w:type="dxa"/>
          </w:tcPr>
          <w:p w14:paraId="48F77ED5" w14:textId="12178191" w:rsidR="00F92B47" w:rsidRDefault="00F92B47" w:rsidP="00F92B47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</w:tr>
    </w:tbl>
    <w:p w14:paraId="199E05C3" w14:textId="62365D91" w:rsidR="00F92B47" w:rsidRDefault="00F92B47" w:rsidP="00822BF9">
      <w:pPr>
        <w:rPr>
          <w:lang w:eastAsia="ko-KR"/>
        </w:rPr>
      </w:pPr>
    </w:p>
    <w:p w14:paraId="7B7D4ABD" w14:textId="65BD6A33" w:rsidR="002A4C5E" w:rsidRDefault="00F92B47" w:rsidP="00822BF9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>s seen in Table 2-1, SW</w:t>
      </w:r>
      <w:r w:rsidR="008D7443">
        <w:rPr>
          <w:lang w:eastAsia="ko-KR"/>
        </w:rPr>
        <w:t>1</w:t>
      </w:r>
      <w:r>
        <w:rPr>
          <w:lang w:eastAsia="ko-KR"/>
        </w:rPr>
        <w:t xml:space="preserve"> is </w:t>
      </w:r>
      <w:r w:rsidR="00E675FB">
        <w:rPr>
          <w:lang w:eastAsia="ko-KR"/>
        </w:rPr>
        <w:t>related to bot</w:t>
      </w:r>
      <w:r>
        <w:rPr>
          <w:lang w:eastAsia="ko-KR"/>
        </w:rPr>
        <w:t>h Tx On/Off and Rx switching</w:t>
      </w:r>
      <w:r w:rsidR="007B3965">
        <w:rPr>
          <w:lang w:eastAsia="ko-KR"/>
        </w:rPr>
        <w:t xml:space="preserve"> simultaneously</w:t>
      </w:r>
      <w:r w:rsidR="00E675FB">
        <w:rPr>
          <w:lang w:eastAsia="ko-KR"/>
        </w:rPr>
        <w:t>.</w:t>
      </w:r>
      <w:r w:rsidR="007B3965">
        <w:rPr>
          <w:lang w:eastAsia="ko-KR"/>
        </w:rPr>
        <w:t xml:space="preserve"> </w:t>
      </w:r>
      <w:r>
        <w:rPr>
          <w:lang w:eastAsia="ko-KR"/>
        </w:rPr>
        <w:t xml:space="preserve"> </w:t>
      </w:r>
      <w:r w:rsidR="00231896">
        <w:rPr>
          <w:lang w:eastAsia="ko-KR"/>
        </w:rPr>
        <w:t xml:space="preserve">It means Tx On/Off time mask needs to be specified considering Rx switching together. </w:t>
      </w:r>
    </w:p>
    <w:p w14:paraId="73CBC17D" w14:textId="569733B9" w:rsidR="002A4C5E" w:rsidRDefault="002A4C5E" w:rsidP="00822BF9">
      <w:pPr>
        <w:rPr>
          <w:lang w:eastAsia="ko-KR"/>
        </w:rPr>
      </w:pPr>
    </w:p>
    <w:p w14:paraId="01A824EA" w14:textId="0735B513" w:rsidR="0084143F" w:rsidRDefault="0084143F" w:rsidP="00822BF9">
      <w:pPr>
        <w:rPr>
          <w:lang w:eastAsia="ko-KR"/>
        </w:rPr>
      </w:pPr>
      <w:r>
        <w:rPr>
          <w:rFonts w:hint="eastAsia"/>
          <w:lang w:eastAsia="ko-KR"/>
        </w:rPr>
        <w:t>RAN1 agreement</w:t>
      </w:r>
      <w:r>
        <w:rPr>
          <w:lang w:eastAsia="ko-KR"/>
        </w:rPr>
        <w:t xml:space="preserve"> is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143F" w14:paraId="5D71AC1B" w14:textId="77777777" w:rsidTr="0084143F">
        <w:tc>
          <w:tcPr>
            <w:tcW w:w="9855" w:type="dxa"/>
          </w:tcPr>
          <w:p w14:paraId="4473E884" w14:textId="77777777" w:rsidR="004505F1" w:rsidRPr="004505F1" w:rsidRDefault="004505F1" w:rsidP="004505F1">
            <w:pPr>
              <w:rPr>
                <w:rFonts w:ascii="Times" w:eastAsia="DengXian" w:hAnsi="Times"/>
                <w:szCs w:val="24"/>
                <w:lang w:eastAsia="zh-CN"/>
              </w:rPr>
            </w:pPr>
            <w:r w:rsidRPr="004505F1">
              <w:rPr>
                <w:rFonts w:ascii="Times" w:eastAsia="바탕" w:hAnsi="Times"/>
                <w:szCs w:val="24"/>
              </w:rPr>
              <w:t>For Rel-19 low NR band carrier aggregation via switching, the semi-static switching pattern and corresponding switching gap are based on the downlink timing (DL reception time at UE side) of Pcell</w:t>
            </w:r>
            <w:r w:rsidRPr="004505F1">
              <w:rPr>
                <w:rFonts w:ascii="Times" w:eastAsia="DengXian" w:hAnsi="Times" w:hint="eastAsia"/>
                <w:szCs w:val="24"/>
                <w:lang w:eastAsia="zh-CN"/>
              </w:rPr>
              <w:t>.</w:t>
            </w:r>
          </w:p>
          <w:p w14:paraId="35B6939F" w14:textId="77777777" w:rsidR="004505F1" w:rsidRPr="004505F1" w:rsidRDefault="004505F1" w:rsidP="004505F1">
            <w:pPr>
              <w:contextualSpacing/>
              <w:rPr>
                <w:rFonts w:ascii="Times" w:eastAsia="바탕" w:hAnsi="Times"/>
                <w:color w:val="000000"/>
                <w:szCs w:val="24"/>
              </w:rPr>
            </w:pPr>
          </w:p>
          <w:p w14:paraId="6A39DA43" w14:textId="2DABDFD4" w:rsidR="004505F1" w:rsidRPr="004505F1" w:rsidRDefault="004505F1" w:rsidP="004505F1">
            <w:pPr>
              <w:contextualSpacing/>
              <w:rPr>
                <w:rFonts w:ascii="Times" w:eastAsia="바탕" w:hAnsi="Times"/>
                <w:color w:val="000000"/>
                <w:szCs w:val="24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</w:rPr>
              <w:t xml:space="preserve">For RRC configuration of semi-static switching pattern in Rel-19 low NR band carrier aggregation via switching, regarding the location of the switching gap, </w:t>
            </w:r>
          </w:p>
          <w:p w14:paraId="48771DF9" w14:textId="77777777" w:rsidR="004505F1" w:rsidRPr="004505F1" w:rsidRDefault="004505F1" w:rsidP="004505F1">
            <w:pPr>
              <w:numPr>
                <w:ilvl w:val="0"/>
                <w:numId w:val="33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val="en-US" w:eastAsia="zh-CN"/>
              </w:rPr>
              <w:t>For switching from SDL carrier to FDD carrier, the switching gap is always assumed at the “switch from” carrier, i.e., SDL carrier.</w:t>
            </w:r>
          </w:p>
          <w:p w14:paraId="1CC5A6EF" w14:textId="77777777" w:rsidR="004505F1" w:rsidRPr="004505F1" w:rsidRDefault="004505F1" w:rsidP="004505F1">
            <w:pPr>
              <w:numPr>
                <w:ilvl w:val="0"/>
                <w:numId w:val="33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For switching from FDD carrier to SDL carrier, downselect one of the following solutions </w:t>
            </w:r>
          </w:p>
          <w:p w14:paraId="65A1F19E" w14:textId="77777777" w:rsidR="004505F1" w:rsidRPr="004505F1" w:rsidRDefault="004505F1" w:rsidP="004505F1">
            <w:pPr>
              <w:numPr>
                <w:ilvl w:val="1"/>
                <w:numId w:val="39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Alt 1: Switching gap is always assumed at the “switch from” carrier, i.e., FDD carrier</w:t>
            </w:r>
          </w:p>
          <w:p w14:paraId="10BF2F97" w14:textId="77777777" w:rsidR="004505F1" w:rsidRPr="004505F1" w:rsidRDefault="004505F1" w:rsidP="004505F1">
            <w:pPr>
              <w:numPr>
                <w:ilvl w:val="1"/>
                <w:numId w:val="39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Alt 2: NW configures whether the switching gap is at the FDD carrier or SDL carrier</w:t>
            </w:r>
          </w:p>
          <w:p w14:paraId="11916AA2" w14:textId="77777777" w:rsidR="004505F1" w:rsidRPr="004505F1" w:rsidRDefault="004505F1" w:rsidP="004505F1">
            <w:pPr>
              <w:numPr>
                <w:ilvl w:val="1"/>
                <w:numId w:val="39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val="en-US"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Alt 3: Switching gap is always assumed at the SDL carrier</w:t>
            </w:r>
          </w:p>
          <w:p w14:paraId="147D4831" w14:textId="77777777" w:rsidR="004505F1" w:rsidRPr="004505F1" w:rsidRDefault="004505F1" w:rsidP="004505F1">
            <w:pPr>
              <w:contextualSpacing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</w:rPr>
              <w:t>For RRC configuration of semi-static switching pattern in Rel-19 low NR band carrier aggregation via switching, the duration of the switching gap is RRC configured by the NW</w:t>
            </w: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,</w:t>
            </w:r>
          </w:p>
          <w:p w14:paraId="25473D78" w14:textId="77777777" w:rsidR="004505F1" w:rsidRPr="004505F1" w:rsidRDefault="004505F1" w:rsidP="004505F1">
            <w:pPr>
              <w:numPr>
                <w:ilvl w:val="0"/>
                <w:numId w:val="33"/>
              </w:numPr>
              <w:contextualSpacing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S</w:t>
            </w: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duration can be different for FDD to SDL switch, and SDL to FDD switch.</w:t>
            </w:r>
          </w:p>
          <w:p w14:paraId="390DEAE1" w14:textId="77777777" w:rsidR="004505F1" w:rsidRPr="004505F1" w:rsidRDefault="004505F1" w:rsidP="004505F1">
            <w:pPr>
              <w:numPr>
                <w:ilvl w:val="0"/>
                <w:numId w:val="33"/>
              </w:numPr>
              <w:contextualSpacing/>
              <w:rPr>
                <w:rFonts w:ascii="Times" w:eastAsia="바탕" w:hAnsi="Times"/>
                <w:strike/>
                <w:color w:val="000000"/>
                <w:szCs w:val="24"/>
                <w:lang w:eastAsia="x-none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Note: NW ensures that the switching gap is enough to cover at least the switching period as in RAN4 LS (R1-2501702) </w:t>
            </w: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and UL TA (if needed)</w:t>
            </w:r>
          </w:p>
          <w:p w14:paraId="65F87BC0" w14:textId="77777777" w:rsidR="004505F1" w:rsidRPr="004505F1" w:rsidRDefault="004505F1" w:rsidP="004505F1">
            <w:pPr>
              <w:numPr>
                <w:ilvl w:val="1"/>
                <w:numId w:val="39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 xml:space="preserve">For the UL TA, </w:t>
            </w:r>
          </w:p>
          <w:p w14:paraId="08B04F91" w14:textId="77777777" w:rsidR="004505F1" w:rsidRPr="004505F1" w:rsidRDefault="004505F1" w:rsidP="004505F1">
            <w:pPr>
              <w:numPr>
                <w:ilvl w:val="2"/>
                <w:numId w:val="40"/>
              </w:numPr>
              <w:spacing w:after="120"/>
              <w:contextualSpacing/>
              <w:jc w:val="both"/>
              <w:rPr>
                <w:rFonts w:ascii="Times" w:eastAsia="바탕" w:hAnsi="Times"/>
                <w:color w:val="000000"/>
                <w:szCs w:val="24"/>
                <w:lang w:eastAsia="x-none"/>
              </w:rPr>
            </w:pP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>S</w:t>
            </w: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for</w:t>
            </w:r>
            <w:r w:rsidRPr="004505F1">
              <w:rPr>
                <w:rFonts w:ascii="Times" w:eastAsia="바탕" w:hAnsi="Times"/>
                <w:color w:val="000000"/>
                <w:szCs w:val="24"/>
                <w:lang w:val="en-US" w:eastAsia="x-none"/>
              </w:rPr>
              <w:t xml:space="preserve"> </w:t>
            </w: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SDL to FDD switch</w:t>
            </w: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t xml:space="preserve"> ends at the end of slot on SDL</w:t>
            </w:r>
          </w:p>
          <w:p w14:paraId="6EE926D8" w14:textId="77777777" w:rsidR="004505F1" w:rsidRPr="004505F1" w:rsidRDefault="004505F1" w:rsidP="004505F1">
            <w:pPr>
              <w:numPr>
                <w:ilvl w:val="3"/>
                <w:numId w:val="41"/>
              </w:numPr>
              <w:spacing w:after="120"/>
              <w:contextualSpacing/>
              <w:jc w:val="both"/>
              <w:rPr>
                <w:rFonts w:eastAsiaTheme="minorHAnsi"/>
                <w:sz w:val="22"/>
                <w:szCs w:val="22"/>
                <w:lang w:eastAsia="ko-KR"/>
              </w:rPr>
            </w:pPr>
            <w:r w:rsidRPr="004505F1">
              <w:rPr>
                <w:rFonts w:ascii="Times" w:eastAsia="DengXian" w:hAnsi="Times" w:hint="eastAsia"/>
                <w:color w:val="000000"/>
                <w:szCs w:val="24"/>
                <w:lang w:eastAsia="zh-CN"/>
              </w:rPr>
              <w:lastRenderedPageBreak/>
              <w:t>Note: RAN1 assumes that s</w:t>
            </w: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witching gap for</w:t>
            </w:r>
            <w:r w:rsidRPr="004505F1">
              <w:rPr>
                <w:rFonts w:ascii="Times" w:eastAsia="바탕" w:hAnsi="Times"/>
                <w:color w:val="000000"/>
                <w:szCs w:val="24"/>
                <w:lang w:val="en-US" w:eastAsia="x-none"/>
              </w:rPr>
              <w:t xml:space="preserve"> </w:t>
            </w:r>
            <w:r w:rsidRPr="004505F1">
              <w:rPr>
                <w:rFonts w:ascii="Times" w:eastAsia="바탕" w:hAnsi="Times"/>
                <w:color w:val="000000"/>
                <w:szCs w:val="24"/>
                <w:lang w:eastAsia="x-none"/>
              </w:rPr>
              <w:t>SDL to FDD switch includes UL TA</w:t>
            </w:r>
          </w:p>
          <w:p w14:paraId="01841D04" w14:textId="77777777" w:rsidR="004505F1" w:rsidRPr="004505F1" w:rsidRDefault="004505F1" w:rsidP="004505F1">
            <w:pPr>
              <w:numPr>
                <w:ilvl w:val="2"/>
                <w:numId w:val="40"/>
              </w:numPr>
              <w:spacing w:after="120"/>
              <w:contextualSpacing/>
              <w:jc w:val="both"/>
              <w:rPr>
                <w:rFonts w:ascii="Times" w:eastAsia="DengXian" w:hAnsi="Times"/>
                <w:color w:val="000000"/>
                <w:szCs w:val="24"/>
                <w:lang w:eastAsia="zh-CN"/>
              </w:rPr>
            </w:pPr>
            <w:r w:rsidRPr="004505F1">
              <w:rPr>
                <w:rFonts w:ascii="Times" w:eastAsia="DengXian" w:hAnsi="Times"/>
                <w:color w:val="000000"/>
                <w:szCs w:val="24"/>
                <w:lang w:eastAsia="zh-CN"/>
              </w:rPr>
              <w:t>FFS: whether it has specification impact</w:t>
            </w:r>
          </w:p>
          <w:p w14:paraId="53EA454E" w14:textId="77777777" w:rsidR="0084143F" w:rsidRPr="0084143F" w:rsidRDefault="0084143F" w:rsidP="004505F1"/>
        </w:tc>
      </w:tr>
    </w:tbl>
    <w:p w14:paraId="2F376EB9" w14:textId="7C9F71E4" w:rsidR="0084143F" w:rsidRDefault="0084143F" w:rsidP="00822BF9">
      <w:pPr>
        <w:rPr>
          <w:lang w:eastAsia="ko-KR"/>
        </w:rPr>
      </w:pPr>
    </w:p>
    <w:p w14:paraId="0BE12AFF" w14:textId="77777777" w:rsidR="0084143F" w:rsidRDefault="0084143F" w:rsidP="00822BF9">
      <w:pPr>
        <w:rPr>
          <w:lang w:eastAsia="ko-KR"/>
        </w:rPr>
      </w:pPr>
    </w:p>
    <w:p w14:paraId="25F6D967" w14:textId="45F48676" w:rsidR="00E675FB" w:rsidRDefault="008D7443" w:rsidP="00822BF9">
      <w:pPr>
        <w:rPr>
          <w:lang w:eastAsia="ko-KR"/>
        </w:rPr>
      </w:pPr>
      <w:r>
        <w:rPr>
          <w:rFonts w:hint="eastAsia"/>
          <w:lang w:eastAsia="ko-KR"/>
        </w:rPr>
        <w:t>Figure 2-</w:t>
      </w:r>
      <w:r w:rsidR="00E675FB">
        <w:rPr>
          <w:lang w:eastAsia="ko-KR"/>
        </w:rPr>
        <w:t>2 shows Tx On/Off time mask for LB CA switching between FDD and SDL</w:t>
      </w:r>
      <w:r w:rsidR="000B0030" w:rsidRPr="000B0030">
        <w:rPr>
          <w:lang w:eastAsia="ko-KR"/>
        </w:rPr>
        <w:t xml:space="preserve"> </w:t>
      </w:r>
      <w:r w:rsidR="000B0030">
        <w:rPr>
          <w:lang w:eastAsia="ko-KR"/>
        </w:rPr>
        <w:t>considering the RAN1 agreement</w:t>
      </w:r>
      <w:r w:rsidR="00E675FB">
        <w:rPr>
          <w:lang w:eastAsia="ko-KR"/>
        </w:rPr>
        <w:t xml:space="preserve">. </w:t>
      </w:r>
    </w:p>
    <w:p w14:paraId="5D2E9E35" w14:textId="43F7635E" w:rsidR="00E675FB" w:rsidRDefault="00E675FB" w:rsidP="00E675FB">
      <w:pPr>
        <w:pStyle w:val="af1"/>
        <w:numPr>
          <w:ilvl w:val="0"/>
          <w:numId w:val="32"/>
        </w:numPr>
        <w:ind w:leftChars="0"/>
        <w:rPr>
          <w:rFonts w:ascii="Times New Roman" w:hAnsi="Times New Roman"/>
        </w:rPr>
      </w:pPr>
      <w:r w:rsidRPr="00E675FB">
        <w:rPr>
          <w:rFonts w:ascii="Times New Roman" w:hAnsi="Times New Roman"/>
        </w:rPr>
        <w:t xml:space="preserve">(a) </w:t>
      </w:r>
      <w:r>
        <w:rPr>
          <w:rFonts w:ascii="Times New Roman" w:hAnsi="Times New Roman"/>
        </w:rPr>
        <w:t xml:space="preserve">: </w:t>
      </w:r>
      <w:r w:rsidRPr="00E675FB">
        <w:rPr>
          <w:rFonts w:ascii="Times New Roman" w:hAnsi="Times New Roman"/>
        </w:rPr>
        <w:t>Tx Off</w:t>
      </w:r>
      <w:r w:rsidRPr="00E675FB">
        <w:rPr>
          <w:rFonts w:ascii="Times New Roman" w:hAnsi="Times New Roman"/>
        </w:rPr>
        <w:sym w:font="Wingdings" w:char="F0E0"/>
      </w:r>
      <w:r w:rsidRPr="00E675FB">
        <w:rPr>
          <w:rFonts w:ascii="Times New Roman" w:hAnsi="Times New Roman"/>
        </w:rPr>
        <w:t>On time mask for switching from SDL to FDD</w:t>
      </w:r>
    </w:p>
    <w:p w14:paraId="4FE54548" w14:textId="77777777" w:rsidR="00E675FB" w:rsidRDefault="00E675FB" w:rsidP="00E675FB">
      <w:pPr>
        <w:pStyle w:val="af1"/>
        <w:numPr>
          <w:ilvl w:val="0"/>
          <w:numId w:val="32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(b) : Tx On</w:t>
      </w:r>
      <w:r w:rsidRPr="00E675FB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>Off time mask for switching from FDD to SDL when switching period location is configured in FDD slot</w:t>
      </w:r>
    </w:p>
    <w:p w14:paraId="6FB003A4" w14:textId="65AADD20" w:rsidR="00E675FB" w:rsidRDefault="00E675FB" w:rsidP="00E675FB">
      <w:pPr>
        <w:pStyle w:val="af1"/>
        <w:numPr>
          <w:ilvl w:val="0"/>
          <w:numId w:val="32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(c) : Tx On</w:t>
      </w:r>
      <w:r w:rsidRPr="00E675FB">
        <w:rPr>
          <w:rFonts w:ascii="Times New Roman" w:hAnsi="Times New Roman"/>
        </w:rPr>
        <w:sym w:font="Wingdings" w:char="F0E0"/>
      </w:r>
      <w:r>
        <w:rPr>
          <w:rFonts w:ascii="Times New Roman" w:hAnsi="Times New Roman"/>
        </w:rPr>
        <w:t>Off time mask for switching from FDD to SDL when switching period location is configured in SDL slot</w:t>
      </w:r>
    </w:p>
    <w:p w14:paraId="66F20757" w14:textId="17F02040" w:rsidR="000B0030" w:rsidRPr="000B0030" w:rsidRDefault="000B0030" w:rsidP="000B0030">
      <w:pPr>
        <w:rPr>
          <w:lang w:eastAsia="ko-KR"/>
        </w:rPr>
      </w:pPr>
      <w:r>
        <w:rPr>
          <w:rFonts w:hint="eastAsia"/>
          <w:lang w:eastAsia="ko-KR"/>
        </w:rPr>
        <w:t xml:space="preserve">Here, </w:t>
      </w:r>
      <w:r>
        <w:rPr>
          <w:lang w:eastAsia="ko-KR"/>
        </w:rPr>
        <w:t>carrier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switching period is 35us and 140us which were agreed in RAN4#114 meeting.</w:t>
      </w:r>
    </w:p>
    <w:p w14:paraId="319242AF" w14:textId="61BCD64D" w:rsidR="002A4C5E" w:rsidRDefault="002A4C5E" w:rsidP="00822BF9">
      <w:pPr>
        <w:rPr>
          <w:lang w:eastAsia="ko-KR"/>
        </w:rPr>
      </w:pPr>
    </w:p>
    <w:p w14:paraId="247620B1" w14:textId="3BA25502" w:rsidR="00E675FB" w:rsidRDefault="00800310" w:rsidP="00822BF9">
      <w:r>
        <w:object w:dxaOrig="21286" w:dyaOrig="12375" w14:anchorId="407EA7F7">
          <v:shape id="_x0000_i1026" type="#_x0000_t75" style="width:492.95pt;height:286.65pt" o:ole="">
            <v:imagedata r:id="rId11" o:title=""/>
          </v:shape>
          <o:OLEObject Type="Embed" ProgID="Visio.Drawing.15" ShapeID="_x0000_i1026" DrawAspect="Content" ObjectID="_1808289380" r:id="rId12"/>
        </w:object>
      </w:r>
    </w:p>
    <w:p w14:paraId="209E2A0A" w14:textId="77777777" w:rsidR="006A1264" w:rsidRDefault="006A1264" w:rsidP="00822BF9">
      <w:pPr>
        <w:rPr>
          <w:lang w:eastAsia="ko-KR"/>
        </w:rPr>
      </w:pPr>
    </w:p>
    <w:p w14:paraId="17A76E36" w14:textId="5DA3EFF6" w:rsidR="00E675FB" w:rsidRDefault="002F5156" w:rsidP="00E675FB">
      <w:pPr>
        <w:pStyle w:val="TH"/>
      </w:pPr>
      <w:r>
        <w:rPr>
          <w:lang w:eastAsia="ko-KR"/>
        </w:rPr>
        <w:t xml:space="preserve"> </w:t>
      </w:r>
      <w:r w:rsidR="00E675FB">
        <w:t>Figure</w:t>
      </w:r>
      <w:r w:rsidR="00E675FB" w:rsidRPr="00442356">
        <w:t xml:space="preserve"> </w:t>
      </w:r>
      <w:r w:rsidR="00E675FB">
        <w:t>2-2:</w:t>
      </w:r>
      <w:r w:rsidR="00E675FB" w:rsidRPr="00442356">
        <w:t xml:space="preserve"> </w:t>
      </w:r>
      <w:r w:rsidR="00E675FB">
        <w:t>Tx On/Off time mask for LB CA switching between FDD and SDL</w:t>
      </w:r>
    </w:p>
    <w:p w14:paraId="62702769" w14:textId="0380CBBE" w:rsidR="00800310" w:rsidRDefault="00800310" w:rsidP="00800310">
      <w:pPr>
        <w:rPr>
          <w:lang w:eastAsia="ko-KR"/>
        </w:rPr>
      </w:pPr>
      <w:r>
        <w:rPr>
          <w:rFonts w:hint="eastAsia"/>
          <w:lang w:eastAsia="ko-KR"/>
        </w:rPr>
        <w:t>Figure 2-</w:t>
      </w:r>
      <w:r>
        <w:rPr>
          <w:lang w:eastAsia="ko-KR"/>
        </w:rPr>
        <w:t>3 shows Tx On/Off time mask for LB CA switching between FDD and SDL</w:t>
      </w:r>
      <w:r w:rsidRPr="000B0030">
        <w:rPr>
          <w:lang w:eastAsia="ko-KR"/>
        </w:rPr>
        <w:t xml:space="preserve"> </w:t>
      </w:r>
      <w:r>
        <w:rPr>
          <w:lang w:eastAsia="ko-KR"/>
        </w:rPr>
        <w:t xml:space="preserve">without considering TA offset from figure 2-2. </w:t>
      </w:r>
    </w:p>
    <w:p w14:paraId="49E6F9B6" w14:textId="7896572A" w:rsidR="00800310" w:rsidRDefault="00800310" w:rsidP="00E675FB">
      <w:pPr>
        <w:pStyle w:val="TH"/>
      </w:pPr>
      <w:r>
        <w:object w:dxaOrig="16921" w:dyaOrig="10681" w14:anchorId="38F5CFBA">
          <v:shape id="_x0000_i1027" type="#_x0000_t75" style="width:447.45pt;height:282.7pt" o:ole="">
            <v:imagedata r:id="rId13" o:title=""/>
          </v:shape>
          <o:OLEObject Type="Embed" ProgID="Visio.Drawing.15" ShapeID="_x0000_i1027" DrawAspect="Content" ObjectID="_1808289381" r:id="rId14"/>
        </w:object>
      </w:r>
    </w:p>
    <w:p w14:paraId="6231FDED" w14:textId="7208A3C6" w:rsidR="00800310" w:rsidRDefault="00800310" w:rsidP="00800310">
      <w:pPr>
        <w:pStyle w:val="TH"/>
      </w:pPr>
      <w:r>
        <w:t>Figure</w:t>
      </w:r>
      <w:r w:rsidRPr="00442356">
        <w:t xml:space="preserve"> </w:t>
      </w:r>
      <w:r>
        <w:t>2-3:</w:t>
      </w:r>
      <w:r w:rsidRPr="00442356">
        <w:t xml:space="preserve"> </w:t>
      </w:r>
      <w:r>
        <w:t>Tx On/Off time mask for LB CA switching between FDD and SDL</w:t>
      </w:r>
    </w:p>
    <w:p w14:paraId="3A9ADD8B" w14:textId="77777777" w:rsidR="00800310" w:rsidRPr="00800310" w:rsidRDefault="00800310" w:rsidP="00800310">
      <w:pPr>
        <w:pStyle w:val="TH"/>
      </w:pPr>
    </w:p>
    <w:p w14:paraId="1D6FD1FA" w14:textId="042DDA1C" w:rsidR="00E675FB" w:rsidRDefault="000B0030" w:rsidP="00822BF9">
      <w:pPr>
        <w:rPr>
          <w:lang w:eastAsia="ko-KR"/>
        </w:rPr>
      </w:pPr>
      <w:r>
        <w:rPr>
          <w:rFonts w:hint="eastAsia"/>
          <w:lang w:eastAsia="ko-KR"/>
        </w:rPr>
        <w:t>Frome the analysis, we propose as follows.</w:t>
      </w:r>
    </w:p>
    <w:p w14:paraId="668383FF" w14:textId="3D13F3B3" w:rsidR="000B0030" w:rsidRDefault="000B0030" w:rsidP="000B003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1: </w:t>
      </w:r>
      <w:r>
        <w:rPr>
          <w:rFonts w:eastAsia="SimSun"/>
          <w:bCs w:val="0"/>
          <w:sz w:val="20"/>
          <w:szCs w:val="20"/>
          <w:lang w:val="en-US" w:eastAsia="zh-CN"/>
        </w:rPr>
        <w:t>Define Tx On/Off time mask for LB CA switching between FDD and SDL considering carrier switching period together.</w:t>
      </w:r>
    </w:p>
    <w:p w14:paraId="5DE2B2C7" w14:textId="1405488B" w:rsidR="000B0030" w:rsidRDefault="00120C02" w:rsidP="00120C0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</w:t>
      </w:r>
      <w:r w:rsidR="000B0030">
        <w:rPr>
          <w:rFonts w:eastAsia="SimSun"/>
          <w:bCs w:val="0"/>
          <w:sz w:val="20"/>
          <w:szCs w:val="20"/>
          <w:lang w:val="en-US" w:eastAsia="zh-CN"/>
        </w:rPr>
        <w:t>2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: </w:t>
      </w:r>
      <w:r w:rsidR="000B0030">
        <w:rPr>
          <w:rFonts w:eastAsia="SimSun"/>
          <w:bCs w:val="0"/>
          <w:sz w:val="20"/>
          <w:szCs w:val="20"/>
          <w:lang w:val="en-US" w:eastAsia="zh-CN"/>
        </w:rPr>
        <w:t>Define Tx On/Off time mask for LB CA switching between FDD and SDL as Figure2-2</w:t>
      </w:r>
      <w:r w:rsidR="00800310">
        <w:rPr>
          <w:rFonts w:eastAsia="SimSun"/>
          <w:bCs w:val="0"/>
          <w:sz w:val="20"/>
          <w:szCs w:val="20"/>
          <w:lang w:val="en-US" w:eastAsia="zh-CN"/>
        </w:rPr>
        <w:t xml:space="preserve"> or Figure2-3</w:t>
      </w:r>
      <w:r w:rsidR="000B0030">
        <w:rPr>
          <w:rFonts w:eastAsia="SimSun"/>
          <w:bCs w:val="0"/>
          <w:sz w:val="20"/>
          <w:szCs w:val="20"/>
          <w:lang w:val="en-US" w:eastAsia="zh-CN"/>
        </w:rPr>
        <w:t>.</w:t>
      </w:r>
    </w:p>
    <w:p w14:paraId="5ACA4661" w14:textId="0010BA05" w:rsidR="00986935" w:rsidRDefault="00986935" w:rsidP="00822BF9">
      <w:r w:rsidRPr="00986935">
        <w:rPr>
          <w:b/>
        </w:rPr>
        <w:t>For Rx switching</w:t>
      </w:r>
      <w:r w:rsidRPr="005B044F">
        <w:t xml:space="preserve"> </w:t>
      </w:r>
      <w:r>
        <w:t xml:space="preserve">requirements </w:t>
      </w:r>
      <w:r w:rsidRPr="005B044F">
        <w:t xml:space="preserve">to reflect where the switching period </w:t>
      </w:r>
      <w:r>
        <w:t xml:space="preserve">of 35us and 140us </w:t>
      </w:r>
      <w:r w:rsidRPr="005B044F">
        <w:t>occurs</w:t>
      </w:r>
      <w:r>
        <w:t xml:space="preserve">, we think that RAN4 does not need to define it because no </w:t>
      </w:r>
      <w:r w:rsidR="00C21491">
        <w:t xml:space="preserve">time mask for </w:t>
      </w:r>
      <w:r>
        <w:t>Rx switching</w:t>
      </w:r>
      <w:r w:rsidR="00C21491">
        <w:t xml:space="preserve"> between two DL carriers</w:t>
      </w:r>
      <w:r>
        <w:t xml:space="preserve"> has been specified. The related requirements can be </w:t>
      </w:r>
      <w:r w:rsidR="00C21491">
        <w:t>defined as</w:t>
      </w:r>
      <w:r>
        <w:t xml:space="preserve"> RAN1 </w:t>
      </w:r>
      <w:r w:rsidR="00C21491" w:rsidRPr="005B044F">
        <w:t xml:space="preserve">scheduling </w:t>
      </w:r>
      <w:r w:rsidR="00302DCB">
        <w:t>pattern.</w:t>
      </w:r>
    </w:p>
    <w:p w14:paraId="28FB54E6" w14:textId="7D9363AA" w:rsidR="00302DCB" w:rsidRPr="008E0AE3" w:rsidRDefault="00302DCB" w:rsidP="00302DC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</w:t>
      </w:r>
      <w:r w:rsidR="00EA110D">
        <w:rPr>
          <w:rFonts w:eastAsia="SimSun"/>
          <w:bCs w:val="0"/>
          <w:sz w:val="20"/>
          <w:szCs w:val="20"/>
          <w:lang w:val="en-US" w:eastAsia="zh-CN"/>
        </w:rPr>
        <w:t>3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en-US" w:eastAsia="zh-CN"/>
        </w:rPr>
        <w:t xml:space="preserve">RAN4 does not define </w:t>
      </w:r>
      <w:r w:rsidRPr="00302DCB">
        <w:rPr>
          <w:rFonts w:eastAsia="SimSun"/>
          <w:bCs w:val="0"/>
          <w:sz w:val="20"/>
          <w:szCs w:val="20"/>
          <w:lang w:val="en-US" w:eastAsia="zh-CN"/>
        </w:rPr>
        <w:t>Rx switching requirements to reflect where the switching period occurs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>.</w:t>
      </w:r>
      <w:r w:rsidR="00B4752B">
        <w:rPr>
          <w:rFonts w:eastAsia="SimSun"/>
          <w:bCs w:val="0"/>
          <w:sz w:val="20"/>
          <w:szCs w:val="20"/>
          <w:lang w:val="en-US" w:eastAsia="zh-CN"/>
        </w:rPr>
        <w:t xml:space="preserve"> It can be defined as RAN1 scheduling pattern.</w:t>
      </w:r>
    </w:p>
    <w:p w14:paraId="19C20608" w14:textId="712B5EFB" w:rsidR="00570D83" w:rsidRDefault="00570D83" w:rsidP="0028695B">
      <w:pPr>
        <w:rPr>
          <w:rFonts w:eastAsia="SimSun"/>
          <w:bCs/>
          <w:lang w:val="en-US" w:eastAsia="zh-CN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28FBF6F" w14:textId="2810C95C" w:rsidR="00620FEB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</w:t>
      </w:r>
      <w:r w:rsidR="00256FCA">
        <w:rPr>
          <w:lang w:val="en-US" w:eastAsia="ko-KR"/>
        </w:rPr>
        <w:t>UE RF requirement for low band CA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</w:t>
      </w:r>
    </w:p>
    <w:p w14:paraId="117676CA" w14:textId="77777777" w:rsidR="00EA110D" w:rsidRDefault="00EA110D" w:rsidP="00EA110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1: </w:t>
      </w:r>
      <w:r>
        <w:rPr>
          <w:rFonts w:eastAsia="SimSun"/>
          <w:bCs w:val="0"/>
          <w:sz w:val="20"/>
          <w:szCs w:val="20"/>
          <w:lang w:val="en-US" w:eastAsia="zh-CN"/>
        </w:rPr>
        <w:t>Define Tx On/Off time mask for LB CA switching between FDD and SDL considering carrier switching period together.</w:t>
      </w:r>
    </w:p>
    <w:p w14:paraId="08B7EA58" w14:textId="042A619C" w:rsidR="00EA110D" w:rsidRDefault="00EA110D" w:rsidP="00EA110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en-US" w:eastAsia="zh-CN"/>
        </w:rPr>
        <w:t>2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en-US" w:eastAsia="zh-CN"/>
        </w:rPr>
        <w:t>Define Tx On/Off time mask for LB CA switching between FDD and SDL as Figure2-2</w:t>
      </w:r>
      <w:r w:rsidR="00800310">
        <w:rPr>
          <w:rFonts w:eastAsia="SimSun"/>
          <w:bCs w:val="0"/>
          <w:sz w:val="20"/>
          <w:szCs w:val="20"/>
          <w:lang w:val="en-US" w:eastAsia="zh-CN"/>
        </w:rPr>
        <w:t xml:space="preserve"> or Figure2-3</w:t>
      </w:r>
      <w:r>
        <w:rPr>
          <w:rFonts w:eastAsia="SimSun"/>
          <w:bCs w:val="0"/>
          <w:sz w:val="20"/>
          <w:szCs w:val="20"/>
          <w:lang w:val="en-US" w:eastAsia="zh-CN"/>
        </w:rPr>
        <w:t>.</w:t>
      </w:r>
    </w:p>
    <w:p w14:paraId="0174372F" w14:textId="77777777" w:rsidR="00EA110D" w:rsidRPr="008E0AE3" w:rsidRDefault="00EA110D" w:rsidP="00EA110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en-US" w:eastAsia="zh-CN"/>
        </w:rPr>
        <w:t>3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en-US" w:eastAsia="zh-CN"/>
        </w:rPr>
        <w:t xml:space="preserve">RAN4 does not define </w:t>
      </w:r>
      <w:r w:rsidRPr="00302DCB">
        <w:rPr>
          <w:rFonts w:eastAsia="SimSun"/>
          <w:bCs w:val="0"/>
          <w:sz w:val="20"/>
          <w:szCs w:val="20"/>
          <w:lang w:val="en-US" w:eastAsia="zh-CN"/>
        </w:rPr>
        <w:t>Rx switching requirements to reflect where the switching period occurs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>.</w:t>
      </w:r>
      <w:r>
        <w:rPr>
          <w:rFonts w:eastAsia="SimSun"/>
          <w:bCs w:val="0"/>
          <w:sz w:val="20"/>
          <w:szCs w:val="20"/>
          <w:lang w:val="en-US" w:eastAsia="zh-CN"/>
        </w:rPr>
        <w:t xml:space="preserve"> It can be defined as RAN1 scheduling pattern.</w:t>
      </w:r>
    </w:p>
    <w:p w14:paraId="7C48D168" w14:textId="77777777" w:rsidR="00EB2ADD" w:rsidRPr="00570D83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C1015E0" w14:textId="36363168" w:rsidR="00236284" w:rsidRDefault="00236284" w:rsidP="00236284">
      <w:pPr>
        <w:jc w:val="both"/>
        <w:rPr>
          <w:lang w:eastAsia="ko-KR"/>
        </w:rPr>
      </w:pPr>
      <w:r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</w:t>
      </w:r>
      <w:r>
        <w:rPr>
          <w:lang w:eastAsia="zh-CN"/>
        </w:rPr>
        <w:t>4</w:t>
      </w:r>
      <w:r w:rsidRPr="00D24778">
        <w:rPr>
          <w:lang w:eastAsia="zh-CN"/>
        </w:rPr>
        <w:t>-2</w:t>
      </w:r>
      <w:r>
        <w:rPr>
          <w:lang w:eastAsia="zh-CN"/>
        </w:rPr>
        <w:t>50</w:t>
      </w:r>
      <w:r w:rsidR="005B044F">
        <w:rPr>
          <w:lang w:eastAsia="zh-CN"/>
        </w:rPr>
        <w:t>5223</w:t>
      </w:r>
      <w:r w:rsidRPr="00210542">
        <w:rPr>
          <w:lang w:eastAsia="zh-CN"/>
        </w:rPr>
        <w:t>, “</w:t>
      </w:r>
      <w:r w:rsidR="005B044F" w:rsidRPr="005B044F">
        <w:rPr>
          <w:lang w:eastAsia="zh-CN"/>
        </w:rPr>
        <w:t>WF on UE RF requirements for LB CA via switching</w:t>
      </w:r>
      <w:r w:rsidRPr="00210542">
        <w:rPr>
          <w:lang w:eastAsia="zh-CN"/>
        </w:rPr>
        <w:t xml:space="preserve">”, </w:t>
      </w:r>
      <w:r w:rsidRPr="00A25C24">
        <w:rPr>
          <w:lang w:eastAsia="zh-CN"/>
        </w:rPr>
        <w:t>Apple</w:t>
      </w:r>
    </w:p>
    <w:p w14:paraId="3D612BA8" w14:textId="48112560" w:rsidR="00822BF9" w:rsidRDefault="00822BF9" w:rsidP="00236284">
      <w:pPr>
        <w:jc w:val="both"/>
        <w:rPr>
          <w:lang w:eastAsia="zh-CN"/>
        </w:rPr>
      </w:pPr>
      <w:r>
        <w:rPr>
          <w:lang w:eastAsia="ko-KR"/>
        </w:rPr>
        <w:t>[</w:t>
      </w:r>
      <w:r w:rsidR="00236284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</w:t>
      </w:r>
      <w:r w:rsidR="00A25C24">
        <w:rPr>
          <w:lang w:eastAsia="zh-CN"/>
        </w:rPr>
        <w:t>3315</w:t>
      </w:r>
      <w:r w:rsidRPr="00210542">
        <w:rPr>
          <w:lang w:eastAsia="zh-CN"/>
        </w:rPr>
        <w:t>, “</w:t>
      </w:r>
      <w:r w:rsidR="00A25C24" w:rsidRPr="00A25C24">
        <w:rPr>
          <w:lang w:eastAsia="zh-CN"/>
        </w:rPr>
        <w:t>New WID on low band carrier aggregation via switchi</w:t>
      </w:r>
      <w:r w:rsidR="00FF0F51">
        <w:rPr>
          <w:rFonts w:hint="eastAsia"/>
          <w:lang w:eastAsia="ko-KR"/>
        </w:rPr>
        <w:t>ng</w:t>
      </w:r>
      <w:r w:rsidRPr="00210542">
        <w:rPr>
          <w:lang w:eastAsia="zh-CN"/>
        </w:rPr>
        <w:t xml:space="preserve">”, </w:t>
      </w:r>
      <w:r w:rsidR="00A25C24" w:rsidRPr="00A25C24">
        <w:rPr>
          <w:lang w:eastAsia="zh-CN"/>
        </w:rPr>
        <w:t>Apple, TELUS, Bell Mobility, BT plc, Skyworks Solutions Inc.</w:t>
      </w:r>
      <w:r w:rsidR="00A25C24">
        <w:rPr>
          <w:lang w:eastAsia="zh-CN"/>
        </w:rPr>
        <w:t xml:space="preserve">, </w:t>
      </w:r>
      <w:r w:rsidR="00A25C24" w:rsidRPr="00A25C24">
        <w:rPr>
          <w:lang w:eastAsia="zh-CN"/>
        </w:rPr>
        <w:t>Anterix, Southern Linc, AT&amp;T, Boost Mobile Network, Murata, Ericsson, Samsung, Qorvo, Nokia, Huawei, HiSilicon, vivo, OPPO, Qualcomm, Google, Sony, ZTE, Intel Corporation, MediaTek, LGE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F3C0E" w14:textId="77777777" w:rsidR="004972D0" w:rsidRDefault="004972D0">
      <w:r>
        <w:separator/>
      </w:r>
    </w:p>
  </w:endnote>
  <w:endnote w:type="continuationSeparator" w:id="0">
    <w:p w14:paraId="72ACE8B3" w14:textId="77777777" w:rsidR="004972D0" w:rsidRDefault="0049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9D4665" w14:textId="77777777" w:rsidR="004972D0" w:rsidRDefault="004972D0">
      <w:r>
        <w:separator/>
      </w:r>
    </w:p>
  </w:footnote>
  <w:footnote w:type="continuationSeparator" w:id="0">
    <w:p w14:paraId="064A9926" w14:textId="77777777" w:rsidR="004972D0" w:rsidRDefault="004972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3316A"/>
    <w:multiLevelType w:val="hybridMultilevel"/>
    <w:tmpl w:val="DD443C8C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BEC07968">
      <w:start w:val="2"/>
      <w:numFmt w:val="bullet"/>
      <w:lvlText w:val="-"/>
      <w:lvlJc w:val="left"/>
      <w:pPr>
        <w:ind w:left="1760" w:hanging="440"/>
      </w:pPr>
      <w:rPr>
        <w:rFonts w:ascii="New York" w:eastAsia="New York" w:hAnsi="New York" w:cs="SimSun" w:hint="eastAsia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 w15:restartNumberingAfterBreak="0">
    <w:nsid w:val="30F1462A"/>
    <w:multiLevelType w:val="hybridMultilevel"/>
    <w:tmpl w:val="0346168C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C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C25445"/>
    <w:multiLevelType w:val="hybridMultilevel"/>
    <w:tmpl w:val="40BE1848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BEC07968">
      <w:start w:val="2"/>
      <w:numFmt w:val="bullet"/>
      <w:lvlText w:val="-"/>
      <w:lvlJc w:val="left"/>
      <w:pPr>
        <w:ind w:left="1760" w:hanging="440"/>
      </w:pPr>
      <w:rPr>
        <w:rFonts w:ascii="New York" w:eastAsia="New York" w:hAnsi="New York" w:cs="SimSun" w:hint="eastAsia"/>
      </w:rPr>
    </w:lvl>
    <w:lvl w:ilvl="4" w:tplc="BEC07968">
      <w:start w:val="2"/>
      <w:numFmt w:val="bullet"/>
      <w:lvlText w:val="-"/>
      <w:lvlJc w:val="left"/>
      <w:pPr>
        <w:ind w:left="2200" w:hanging="440"/>
      </w:pPr>
      <w:rPr>
        <w:rFonts w:ascii="New York" w:eastAsia="New York" w:hAnsi="New York" w:cs="SimSun" w:hint="eastAsia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4ED028B"/>
    <w:multiLevelType w:val="hybridMultilevel"/>
    <w:tmpl w:val="8D883402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BB4A9B76">
      <w:start w:val="1"/>
      <w:numFmt w:val="bullet"/>
      <w:lvlText w:val="•"/>
      <w:lvlJc w:val="left"/>
      <w:pPr>
        <w:ind w:left="880" w:hanging="44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CFD4AAC"/>
    <w:multiLevelType w:val="hybridMultilevel"/>
    <w:tmpl w:val="EED0527E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EC07968">
      <w:start w:val="2"/>
      <w:numFmt w:val="bullet"/>
      <w:lvlText w:val="-"/>
      <w:lvlJc w:val="left"/>
      <w:pPr>
        <w:ind w:left="2200" w:hanging="440"/>
      </w:pPr>
      <w:rPr>
        <w:rFonts w:ascii="New York" w:eastAsia="New York" w:hAnsi="New York" w:cs="SimSun" w:hint="eastAsia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4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New York" w:hAnsi="New York" w:cs="New York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="New York" w:hAnsi="New York" w:cs="New York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6" w15:restartNumberingAfterBreak="0">
    <w:nsid w:val="58115FC8"/>
    <w:multiLevelType w:val="hybridMultilevel"/>
    <w:tmpl w:val="AC8ACFD0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1422B082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EC07968">
      <w:start w:val="2"/>
      <w:numFmt w:val="bullet"/>
      <w:lvlText w:val="-"/>
      <w:lvlJc w:val="left"/>
      <w:pPr>
        <w:ind w:left="2200" w:hanging="440"/>
      </w:pPr>
      <w:rPr>
        <w:rFonts w:ascii="New York" w:eastAsia="New York" w:hAnsi="New York" w:cs="SimSun" w:hint="eastAsia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1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08577AC"/>
    <w:multiLevelType w:val="hybridMultilevel"/>
    <w:tmpl w:val="CE94B6B4"/>
    <w:lvl w:ilvl="0" w:tplc="AA88D93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51A5D"/>
    <w:multiLevelType w:val="hybridMultilevel"/>
    <w:tmpl w:val="122C9A3C"/>
    <w:lvl w:ilvl="0" w:tplc="AA88D93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41C0520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641C0520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abstractNum w:abstractNumId="39" w15:restartNumberingAfterBreak="0">
    <w:nsid w:val="7DE76036"/>
    <w:multiLevelType w:val="hybridMultilevel"/>
    <w:tmpl w:val="3CE22ABC"/>
    <w:lvl w:ilvl="0" w:tplc="B8CCF87A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BEC07968">
      <w:start w:val="2"/>
      <w:numFmt w:val="bullet"/>
      <w:lvlText w:val="-"/>
      <w:lvlJc w:val="left"/>
      <w:pPr>
        <w:ind w:left="2200" w:hanging="440"/>
      </w:pPr>
      <w:rPr>
        <w:rFonts w:ascii="New York" w:eastAsia="New York" w:hAnsi="New York" w:cs="SimSun" w:hint="eastAsia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E3637E9"/>
    <w:multiLevelType w:val="hybridMultilevel"/>
    <w:tmpl w:val="472A7854"/>
    <w:lvl w:ilvl="0" w:tplc="F1FCD4D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12"/>
  </w:num>
  <w:num w:numId="5">
    <w:abstractNumId w:val="19"/>
  </w:num>
  <w:num w:numId="6">
    <w:abstractNumId w:val="25"/>
  </w:num>
  <w:num w:numId="7">
    <w:abstractNumId w:val="38"/>
  </w:num>
  <w:num w:numId="8">
    <w:abstractNumId w:val="3"/>
  </w:num>
  <w:num w:numId="9">
    <w:abstractNumId w:val="23"/>
  </w:num>
  <w:num w:numId="10">
    <w:abstractNumId w:val="30"/>
  </w:num>
  <w:num w:numId="11">
    <w:abstractNumId w:val="10"/>
  </w:num>
  <w:num w:numId="12">
    <w:abstractNumId w:val="7"/>
  </w:num>
  <w:num w:numId="13">
    <w:abstractNumId w:val="9"/>
  </w:num>
  <w:num w:numId="14">
    <w:abstractNumId w:val="18"/>
  </w:num>
  <w:num w:numId="15">
    <w:abstractNumId w:val="14"/>
  </w:num>
  <w:num w:numId="16">
    <w:abstractNumId w:val="0"/>
  </w:num>
  <w:num w:numId="17">
    <w:abstractNumId w:val="5"/>
  </w:num>
  <w:num w:numId="18">
    <w:abstractNumId w:val="35"/>
  </w:num>
  <w:num w:numId="19">
    <w:abstractNumId w:val="2"/>
  </w:num>
  <w:num w:numId="20">
    <w:abstractNumId w:val="21"/>
  </w:num>
  <w:num w:numId="21">
    <w:abstractNumId w:val="13"/>
  </w:num>
  <w:num w:numId="22">
    <w:abstractNumId w:val="33"/>
  </w:num>
  <w:num w:numId="23">
    <w:abstractNumId w:val="36"/>
  </w:num>
  <w:num w:numId="24">
    <w:abstractNumId w:val="28"/>
  </w:num>
  <w:num w:numId="25">
    <w:abstractNumId w:val="27"/>
  </w:num>
  <w:num w:numId="26">
    <w:abstractNumId w:val="22"/>
  </w:num>
  <w:num w:numId="27">
    <w:abstractNumId w:val="31"/>
  </w:num>
  <w:num w:numId="28">
    <w:abstractNumId w:val="29"/>
  </w:num>
  <w:num w:numId="29">
    <w:abstractNumId w:val="32"/>
  </w:num>
  <w:num w:numId="30">
    <w:abstractNumId w:val="34"/>
  </w:num>
  <w:num w:numId="31">
    <w:abstractNumId w:val="24"/>
  </w:num>
  <w:num w:numId="32">
    <w:abstractNumId w:val="40"/>
  </w:num>
  <w:num w:numId="33">
    <w:abstractNumId w:val="39"/>
  </w:num>
  <w:num w:numId="34">
    <w:abstractNumId w:val="17"/>
  </w:num>
  <w:num w:numId="35">
    <w:abstractNumId w:val="8"/>
  </w:num>
  <w:num w:numId="36">
    <w:abstractNumId w:val="4"/>
  </w:num>
  <w:num w:numId="37">
    <w:abstractNumId w:val="1"/>
  </w:num>
  <w:num w:numId="38">
    <w:abstractNumId w:val="6"/>
  </w:num>
  <w:num w:numId="39">
    <w:abstractNumId w:val="20"/>
  </w:num>
  <w:num w:numId="40">
    <w:abstractNumId w:val="26"/>
  </w:num>
  <w:num w:numId="41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029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2DA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BFA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4A92"/>
    <w:rsid w:val="00076803"/>
    <w:rsid w:val="000769B6"/>
    <w:rsid w:val="00076B3D"/>
    <w:rsid w:val="0007798F"/>
    <w:rsid w:val="000805B6"/>
    <w:rsid w:val="00081269"/>
    <w:rsid w:val="0008134D"/>
    <w:rsid w:val="0008170E"/>
    <w:rsid w:val="00081871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30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4A"/>
    <w:rsid w:val="00117EE3"/>
    <w:rsid w:val="00117F07"/>
    <w:rsid w:val="00120A22"/>
    <w:rsid w:val="00120C02"/>
    <w:rsid w:val="00121324"/>
    <w:rsid w:val="0012207F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2F6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56B0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5BBA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0B72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2DC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436D"/>
    <w:rsid w:val="001F530F"/>
    <w:rsid w:val="001F5C28"/>
    <w:rsid w:val="001F5DA7"/>
    <w:rsid w:val="001F739C"/>
    <w:rsid w:val="001F78B6"/>
    <w:rsid w:val="00200510"/>
    <w:rsid w:val="00200B2D"/>
    <w:rsid w:val="00200F54"/>
    <w:rsid w:val="0020198C"/>
    <w:rsid w:val="00202046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4C6F"/>
    <w:rsid w:val="00225541"/>
    <w:rsid w:val="00225D71"/>
    <w:rsid w:val="00227145"/>
    <w:rsid w:val="00227BA7"/>
    <w:rsid w:val="00227CB2"/>
    <w:rsid w:val="00230761"/>
    <w:rsid w:val="002308FA"/>
    <w:rsid w:val="00231896"/>
    <w:rsid w:val="00232279"/>
    <w:rsid w:val="0023308F"/>
    <w:rsid w:val="002331C7"/>
    <w:rsid w:val="002343C6"/>
    <w:rsid w:val="00234A18"/>
    <w:rsid w:val="00235375"/>
    <w:rsid w:val="00236284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6FCA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26E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695B"/>
    <w:rsid w:val="002870C4"/>
    <w:rsid w:val="002875A3"/>
    <w:rsid w:val="0028764B"/>
    <w:rsid w:val="00287E74"/>
    <w:rsid w:val="002900E8"/>
    <w:rsid w:val="00290639"/>
    <w:rsid w:val="00291714"/>
    <w:rsid w:val="00292749"/>
    <w:rsid w:val="00292D5A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4C5E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24E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5156"/>
    <w:rsid w:val="002F5B61"/>
    <w:rsid w:val="002F672A"/>
    <w:rsid w:val="002F7B67"/>
    <w:rsid w:val="002F7D0C"/>
    <w:rsid w:val="00300B7F"/>
    <w:rsid w:val="003019D7"/>
    <w:rsid w:val="003023F4"/>
    <w:rsid w:val="00302DCB"/>
    <w:rsid w:val="00303A77"/>
    <w:rsid w:val="00304EB2"/>
    <w:rsid w:val="0030557E"/>
    <w:rsid w:val="003065E6"/>
    <w:rsid w:val="00306952"/>
    <w:rsid w:val="00306E9D"/>
    <w:rsid w:val="00307268"/>
    <w:rsid w:val="003074A2"/>
    <w:rsid w:val="00307E30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6E26"/>
    <w:rsid w:val="00337630"/>
    <w:rsid w:val="00341DFA"/>
    <w:rsid w:val="0034215F"/>
    <w:rsid w:val="003422AB"/>
    <w:rsid w:val="0034384F"/>
    <w:rsid w:val="00343B37"/>
    <w:rsid w:val="00343D9F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B3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2E69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D7E4E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6857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0EB8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05F1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5321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972D0"/>
    <w:rsid w:val="00497BC2"/>
    <w:rsid w:val="004A0574"/>
    <w:rsid w:val="004A0A92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A7F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480"/>
    <w:rsid w:val="004E715F"/>
    <w:rsid w:val="004E7F79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34A9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83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44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2ED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EB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3996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264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2A5B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1DA2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97E65"/>
    <w:rsid w:val="007A021F"/>
    <w:rsid w:val="007A03BC"/>
    <w:rsid w:val="007A0BEB"/>
    <w:rsid w:val="007A1602"/>
    <w:rsid w:val="007A1873"/>
    <w:rsid w:val="007A2730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96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310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43F"/>
    <w:rsid w:val="00841A7D"/>
    <w:rsid w:val="00842B5D"/>
    <w:rsid w:val="00843387"/>
    <w:rsid w:val="008433D2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890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0F59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443"/>
    <w:rsid w:val="008D7ED9"/>
    <w:rsid w:val="008E0528"/>
    <w:rsid w:val="008E0AE3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8F7B6A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652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194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6EB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778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8693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17E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1BC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4C7B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5C24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42C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77C93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5AF"/>
    <w:rsid w:val="00B226DD"/>
    <w:rsid w:val="00B228D3"/>
    <w:rsid w:val="00B23A8B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52B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35C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5906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200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8A5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68DE"/>
    <w:rsid w:val="00C17F96"/>
    <w:rsid w:val="00C20982"/>
    <w:rsid w:val="00C21491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47965"/>
    <w:rsid w:val="00C47D44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7A1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BE9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941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4CA4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5A5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212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4ADF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D0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01A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FA4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2B96"/>
    <w:rsid w:val="00E45374"/>
    <w:rsid w:val="00E45CD2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675FB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110D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30A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153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3C56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2B47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161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0F51"/>
    <w:rsid w:val="00FF110A"/>
    <w:rsid w:val="00FF250B"/>
    <w:rsid w:val="00FF2A0C"/>
    <w:rsid w:val="00FF3119"/>
    <w:rsid w:val="00FF446A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FEB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aliases w:val="TableGrid,SGS Table Basic 1"/>
    <w:basedOn w:val="a2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  <w:style w:type="paragraph" w:customStyle="1" w:styleId="Style1">
    <w:name w:val="Style1"/>
    <w:basedOn w:val="a"/>
    <w:qFormat/>
    <w:rsid w:val="00CD4CA4"/>
    <w:pPr>
      <w:widowControl w:val="0"/>
      <w:numPr>
        <w:numId w:val="31"/>
      </w:numPr>
      <w:tabs>
        <w:tab w:val="num" w:pos="360"/>
      </w:tabs>
      <w:wordWrap w:val="0"/>
      <w:autoSpaceDE w:val="0"/>
      <w:autoSpaceDN w:val="0"/>
      <w:spacing w:after="160" w:line="259" w:lineRule="auto"/>
      <w:jc w:val="both"/>
    </w:pPr>
    <w:rPr>
      <w:rFonts w:ascii="Wingdings" w:eastAsia="MS PGothic" w:hAnsi="Wingdings" w:cs="SimSun"/>
      <w:kern w:val="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_2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602B-CEB6-4115-BC56-995BD670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5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23</cp:revision>
  <cp:lastPrinted>2013-04-01T03:20:00Z</cp:lastPrinted>
  <dcterms:created xsi:type="dcterms:W3CDTF">2025-04-21T07:01:00Z</dcterms:created>
  <dcterms:modified xsi:type="dcterms:W3CDTF">2025-05-09T00:35:00Z</dcterms:modified>
</cp:coreProperties>
</file>